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1、解释什么是防雷装置？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    答：用于减少闪击击于建（构）筑物上或建（构）筑物附近造成的物质性损害和人身伤亡，由外部防雷装置和内部防雷装置组成。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2、解释什么是接闪器？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    答：由拦截闪击的接闪杆、接闪带、接闪线、接闪网以及金属屋面、金属构件等组成。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3、解释什么是接地线？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    答：从引下线断接卡或换线处至接地体的连接导体；或从接地端子、等电位连接带至接地体的连接导体。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4、解释什么是防雷等电位连接？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    答：将分开的诸金属物体直接用连接导体或经电涌保护器连接到防雷装置上以减小雷电流引发的电位差。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5、解释什么是等电位连接带？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    答：将金属装置、外来导电物、电力线路、电信线路及其他线路连于其上以能与防雷装置做等电位连接的金属带。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6、解释什么是防雷区？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    答：划分雷击电磁环境的区，一个防雷区的区界面不一定要有实物界面，例如不一定要有墙壁、地板或天花板作为区界面。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7、解释什么是电气系统？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    答：由低压供电组合部件构成的系统。也称低压配电系统或低压配电线路。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8、解释什么是电涌保护器？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    答：用于限制瞬态过电压和分泄电涌电流的器件。它至少含有一个非线性元件。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9、解释什么是保护模式？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    答：电气系统电涌保护器的保护部件可连接在相对相、相对地、相对中性线、中性线对地及其组合，以及电子系统电涌保护器的保护部件连接在线与线、线与地及其组合。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10、解释什么是最大持续运行电压？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    答：可持续加于电气系统电涌保护器保护模式的最大方均根电压或直流电压；可持续加于电子系统电涌保护器端子上，且不致引起电涌保护器传输特性减低的最大方均根电压或直流电压。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11、解释什么是标称放电电流？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答：流过电涌保护器 8/20μs电流波的峰值。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12、解释什么是以Iimp试验的电涌保护器？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    答：耐得起 10/350μs典型波形的部分雷电流的电涌保护器需要用 Iimp电流做相应的冲击试验。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13、解释什么是Ⅰ级试验？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答：电气系统中采用Ⅰ级试验的电涌保护器要用标称放电电流 In、 1.2/50μs冲击电压和最大冲击电流 Iimp做试验。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14、解释什么是以 In试验的电涌保护器？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    答：耐得起 8/20μs典型波形的感应电涌电流的电涌保护器需要用 In电流做相应的冲击试验。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15、解释什么是Ⅱ级试验？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    答：电气系统中采用Ⅱ级试验的电涌保护器要用标称放电电流 In、 1.2/50μs冲击电压和 8/20μs电流波最大放电电流Imax做试验。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16、解释什么是Ⅲ级试验？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    答：电气系统中采用Ⅲ级试验的电涌保护器要用组合波做试验。组合波定义为由 2Ω组合波发生器产生 1.2/50μs开路电压 Uoc和8/20μs短路电流 Isc。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17、解释什么是电压开关型电涌保护器？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    答：无电涌出现时为高阻抗，当出现电压电涌时突变为低阻抗。通常采用放电间隙、充气放电管、硅可控整流器或三端双向可控硅元件做这类电涌保护器的组件。也称“克罗巴型”电涌保护器。具有不连续的电压、电流特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18、解释什么是限压型电涌保护器？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    答：无电涌出现时为高阻抗，随着电涌电流和电压的增加，阻抗连续变小。通常采用压敏电阻、抑制二极管做限压型电涌保护器的组件。也称“箝压型”电涌保护器。具有连续的电压、电流特性。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19、解释什么是组合型电涌保护器？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    答：由电压开关型元件和限压型元件组合而成的电涌保护器，其特性随所加电压的特性可以表现为电压开关型、限压型或电压开关型和限压型皆有。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20、解释什么是电压保护水平？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    答：表征电涌保护器限制接线端子间电压的性能参数，其值可从优先值的列表中选择。电压保护水平值应大于所测量的限制电压的最高值。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21、解释什么是1.2/50μs冲击电压？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    答：规定的波头时间 T 1为 1.2μs、半值时间 T 2为50μs的冲击电压。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22、解释什么是8/20μs冲击电流？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答：规定的波头时间 T 1为 8μs、半值时间 T 2为 20μs的冲击电流。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23、解释什么是信息系统？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    答：建筑物内部许多类型的电子装置，包括计算机，通信设备，控制装置等的统称。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24、解释什么是接地系统？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答：在规定区域内由所有互相连接的多个接地连接组成的系统，包括埋在低中的接地极、接地线、与接地相连接的电缆屏蔽层、及与接地级相连的设备外壳或裸露金属部分、建筑物钢筋、构架在内的复杂系统。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25、解释什么是中性线？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答：中性线（N）是与系统中性点相连并能起传输电能作用的导体。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26、防雷区（LPZ）如何划分？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答：（1）LPZ0</w:t>
      </w:r>
      <w:r>
        <w:rPr>
          <w:rFonts w:hint="eastAsia" w:ascii="宋体" w:hAnsi="宋体" w:eastAsia="宋体" w:cs="宋体"/>
          <w:i w:val="0"/>
          <w:caps w:val="0"/>
          <w:color w:val="333333"/>
          <w:spacing w:val="8"/>
          <w:sz w:val="24"/>
          <w:szCs w:val="24"/>
          <w:bdr w:val="none" w:color="auto" w:sz="0" w:space="0"/>
          <w:shd w:val="clear" w:fill="FFFFFF"/>
          <w:vertAlign w:val="subscript"/>
        </w:rPr>
        <w:t>A</w:t>
      </w:r>
      <w:r>
        <w:rPr>
          <w:rFonts w:hint="eastAsia" w:ascii="宋体" w:hAnsi="宋体" w:eastAsia="宋体" w:cs="宋体"/>
          <w:i w:val="0"/>
          <w:caps w:val="0"/>
          <w:color w:val="333333"/>
          <w:spacing w:val="8"/>
          <w:sz w:val="24"/>
          <w:szCs w:val="24"/>
          <w:bdr w:val="none" w:color="auto" w:sz="0" w:space="0"/>
          <w:shd w:val="clear" w:fill="FFFFFF"/>
        </w:rPr>
        <w:t>区：本区内各物体都可能遭到直接雷击和导走全部雷电流，本区内电磁场强度没有衰减。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（2）LPZ0</w:t>
      </w:r>
      <w:r>
        <w:rPr>
          <w:rFonts w:hint="eastAsia" w:ascii="宋体" w:hAnsi="宋体" w:eastAsia="宋体" w:cs="宋体"/>
          <w:i w:val="0"/>
          <w:caps w:val="0"/>
          <w:color w:val="333333"/>
          <w:spacing w:val="8"/>
          <w:sz w:val="24"/>
          <w:szCs w:val="24"/>
          <w:bdr w:val="none" w:color="auto" w:sz="0" w:space="0"/>
          <w:shd w:val="clear" w:fill="FFFFFF"/>
          <w:vertAlign w:val="subscript"/>
        </w:rPr>
        <w:t>B</w:t>
      </w:r>
      <w:r>
        <w:rPr>
          <w:rFonts w:hint="eastAsia" w:ascii="宋体" w:hAnsi="宋体" w:eastAsia="宋体" w:cs="宋体"/>
          <w:i w:val="0"/>
          <w:caps w:val="0"/>
          <w:color w:val="333333"/>
          <w:spacing w:val="8"/>
          <w:sz w:val="24"/>
          <w:szCs w:val="24"/>
          <w:bdr w:val="none" w:color="auto" w:sz="0" w:space="0"/>
          <w:shd w:val="clear" w:fill="FFFFFF"/>
        </w:rPr>
        <w:t>区：本区内各物体不可能遭到大于所选滚球半径对应的雷电流直接雷击，但本区内电磁场强度没有衰减。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（3）LPZ1区：本区内各物体不可能遭到直接雷击，流经各导体的电流比LPZ0</w:t>
      </w:r>
      <w:r>
        <w:rPr>
          <w:rFonts w:hint="eastAsia" w:ascii="宋体" w:hAnsi="宋体" w:eastAsia="宋体" w:cs="宋体"/>
          <w:i w:val="0"/>
          <w:caps w:val="0"/>
          <w:color w:val="333333"/>
          <w:spacing w:val="8"/>
          <w:sz w:val="24"/>
          <w:szCs w:val="24"/>
          <w:bdr w:val="none" w:color="auto" w:sz="0" w:space="0"/>
          <w:shd w:val="clear" w:fill="FFFFFF"/>
          <w:vertAlign w:val="subscript"/>
        </w:rPr>
        <w:t>B</w:t>
      </w:r>
      <w:r>
        <w:rPr>
          <w:rFonts w:hint="eastAsia" w:ascii="宋体" w:hAnsi="宋体" w:eastAsia="宋体" w:cs="宋体"/>
          <w:i w:val="0"/>
          <w:caps w:val="0"/>
          <w:color w:val="333333"/>
          <w:spacing w:val="8"/>
          <w:sz w:val="24"/>
          <w:szCs w:val="24"/>
          <w:bdr w:val="none" w:color="auto" w:sz="0" w:space="0"/>
          <w:shd w:val="clear" w:fill="FFFFFF"/>
        </w:rPr>
        <w:t>区更小，本区内电磁场强度可能衰减，这取决于屏蔽措施。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（4）后续防雷区（LPZ2区等）：当需要进一步减少导入的电流和电磁场强度时，应增设后续防雷区，并按照需要保护的系统所要求的环境区选择后续防雷区的要求条件。本区内电磁场强度有进一步衰减。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27、10/350µs波形的电流幅值是多少？波头时间是怎么算的？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答：幅值是200KA；在上升波面10%和90%处做直线，交于波形横轴和与横轴平行的最大值平行线两点，在这两点之间的时间，就是波头时间。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28、第二类建筑物接闪杆的高度为50米，它与高度为45米的保护范围半径是否相同？为什么？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35"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答：相同。因为第二类建筑物是用滚球法确定接闪杆保护范围，且滚球半径为45米，而接闪杆的高度为50米时，按照45米滚球半径计算，也是在45米处相切，实际上，两种高度的保护范围相同。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29、高度超过45米的钢筋混凝土结构建筑应采取什么措施？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答：防侧击雷和等电位保护。混凝土的钢筋应与钢构架相连；钢柱或柱子主筋应作为引下线；将45米以上的较大金属物做等电位连接；竖立敷设的金属管道及金属物两端与防雷装置连接。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30、接闪器可以采用哪些形式？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   答：独立接闪杆、接闪线、接闪网、金属屋面或金属构件。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6517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2020-03-26T06:19:41Z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